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jc w:val="center"/>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rPr>
        <w:t>2020年度地面瓦斯区域治理工程项目</w:t>
      </w:r>
      <w:r>
        <w:rPr>
          <w:rFonts w:hint="eastAsia" w:ascii="黑体" w:hAnsi="黑体" w:eastAsia="黑体" w:cs="黑体"/>
          <w:bCs/>
          <w:color w:val="auto"/>
          <w:sz w:val="32"/>
          <w:szCs w:val="32"/>
          <w:lang w:val="en-US" w:eastAsia="zh-CN"/>
        </w:rPr>
        <w:t>竣工环境保护验收</w:t>
      </w:r>
    </w:p>
    <w:p>
      <w:pPr>
        <w:adjustRightInd/>
        <w:snapToGrid/>
        <w:spacing w:line="220" w:lineRule="atLeast"/>
        <w:jc w:val="center"/>
        <w:rPr>
          <w:b/>
          <w:color w:val="auto"/>
          <w:sz w:val="32"/>
          <w:szCs w:val="32"/>
        </w:rPr>
      </w:pPr>
      <w:r>
        <w:rPr>
          <w:rFonts w:hint="eastAsia" w:ascii="黑体" w:hAnsi="黑体" w:eastAsia="黑体" w:cs="黑体"/>
          <w:bCs/>
          <w:color w:val="auto"/>
          <w:sz w:val="32"/>
          <w:szCs w:val="32"/>
          <w:lang w:val="en-US" w:eastAsia="zh-CN"/>
        </w:rPr>
        <w:t>调查报告</w:t>
      </w:r>
      <w:r>
        <w:rPr>
          <w:rFonts w:hint="eastAsia" w:ascii="黑体" w:hAnsi="黑体" w:eastAsia="黑体" w:cs="黑体"/>
          <w:bCs/>
          <w:color w:val="auto"/>
          <w:sz w:val="32"/>
          <w:szCs w:val="32"/>
        </w:rPr>
        <w:t>其他需要说明的事项</w:t>
      </w:r>
    </w:p>
    <w:p>
      <w:pPr>
        <w:pStyle w:val="4"/>
        <w:rPr>
          <w:rFonts w:ascii="宋体" w:hAnsi="宋体"/>
          <w:b/>
          <w:bCs w:val="0"/>
          <w:color w:val="auto"/>
          <w:szCs w:val="21"/>
        </w:rPr>
      </w:pPr>
      <w:r>
        <w:rPr>
          <w:rFonts w:hint="eastAsia" w:ascii="宋体" w:hAnsi="宋体"/>
          <w:b/>
          <w:bCs w:val="0"/>
          <w:color w:val="auto"/>
          <w:szCs w:val="21"/>
        </w:rPr>
        <w:t>1环境保护设施设计、施工和验收过程简况</w:t>
      </w:r>
    </w:p>
    <w:p>
      <w:pPr>
        <w:pStyle w:val="4"/>
        <w:rPr>
          <w:rFonts w:ascii="宋体" w:hAnsi="宋体"/>
          <w:b/>
          <w:bCs w:val="0"/>
          <w:color w:val="auto"/>
          <w:szCs w:val="21"/>
        </w:rPr>
      </w:pPr>
      <w:r>
        <w:rPr>
          <w:rFonts w:hint="eastAsia" w:ascii="宋体" w:hAnsi="宋体"/>
          <w:b/>
          <w:bCs w:val="0"/>
          <w:color w:val="auto"/>
          <w:szCs w:val="21"/>
        </w:rPr>
        <w:t>1.1设计简况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382" w:firstLineChars="182"/>
        <w:textAlignment w:val="auto"/>
        <w:rPr>
          <w:rFonts w:hint="default" w:ascii="Times New Roman" w:hAnsi="Times New Roman" w:eastAsia="宋体" w:cs="Times New Roman"/>
          <w:color w:val="auto"/>
          <w:kern w:val="0"/>
          <w:sz w:val="21"/>
          <w:szCs w:val="21"/>
          <w:lang w:val="sq-AL" w:eastAsia="zh-CN" w:bidi="ar-SA"/>
        </w:rPr>
      </w:pPr>
      <w:r>
        <w:rPr>
          <w:rFonts w:hint="default" w:ascii="Times New Roman" w:hAnsi="Times New Roman" w:eastAsia="宋体" w:cs="Times New Roman"/>
          <w:color w:val="auto"/>
          <w:kern w:val="0"/>
          <w:sz w:val="21"/>
          <w:szCs w:val="21"/>
          <w:lang w:val="en-US" w:eastAsia="zh-CN" w:bidi="ar-SA"/>
        </w:rPr>
        <w:t>2020年度地面瓦斯区域治理工程项目</w:t>
      </w:r>
      <w:r>
        <w:rPr>
          <w:rFonts w:hint="default" w:ascii="Times New Roman" w:hAnsi="Times New Roman" w:eastAsia="宋体" w:cs="Times New Roman"/>
          <w:color w:val="auto"/>
          <w:kern w:val="0"/>
          <w:sz w:val="21"/>
          <w:szCs w:val="21"/>
          <w:lang w:val="sq-AL" w:eastAsia="zh-CN" w:bidi="ar-SA"/>
        </w:rPr>
        <w:t>涉及潘二煤矿、顾桥煤矿、朱集东煤矿3个煤矿，6个井场，</w:t>
      </w:r>
      <w:r>
        <w:rPr>
          <w:rFonts w:hint="default" w:ascii="Times New Roman" w:hAnsi="Times New Roman" w:eastAsia="宋体" w:cs="Times New Roman"/>
          <w:color w:val="auto"/>
          <w:kern w:val="0"/>
          <w:sz w:val="21"/>
          <w:szCs w:val="21"/>
          <w:lang w:val="en-US" w:eastAsia="zh-CN" w:bidi="ar-SA"/>
        </w:rPr>
        <w:t>包括12口地面钻井，其中潘二煤矿2个井场4口井，7984m；顾桥煤矿2个井场4口井，9230m；朱集东煤矿2个井场4口井，9013m；共26227m。</w:t>
      </w:r>
      <w:r>
        <w:rPr>
          <w:rFonts w:hint="default" w:ascii="Times New Roman" w:hAnsi="Times New Roman" w:eastAsia="宋体" w:cs="Times New Roman"/>
          <w:color w:val="auto"/>
          <w:kern w:val="0"/>
          <w:sz w:val="21"/>
          <w:szCs w:val="21"/>
          <w:lang w:val="sq-AL" w:eastAsia="zh-CN" w:bidi="ar-SA"/>
        </w:rPr>
        <w:t>每个井场占地9600m</w:t>
      </w:r>
      <w:r>
        <w:rPr>
          <w:rFonts w:hint="default" w:ascii="Times New Roman" w:hAnsi="Times New Roman" w:eastAsia="宋体" w:cs="Times New Roman"/>
          <w:color w:val="auto"/>
          <w:kern w:val="0"/>
          <w:sz w:val="21"/>
          <w:szCs w:val="21"/>
          <w:vertAlign w:val="superscript"/>
          <w:lang w:val="sq-AL" w:eastAsia="zh-CN" w:bidi="ar-SA"/>
        </w:rPr>
        <w:t>2</w:t>
      </w:r>
      <w:r>
        <w:rPr>
          <w:rFonts w:hint="default" w:ascii="Times New Roman" w:hAnsi="Times New Roman" w:eastAsia="宋体" w:cs="Times New Roman"/>
          <w:color w:val="auto"/>
          <w:kern w:val="0"/>
          <w:sz w:val="21"/>
          <w:szCs w:val="21"/>
          <w:lang w:val="sq-AL" w:eastAsia="zh-CN" w:bidi="ar-SA"/>
        </w:rPr>
        <w:t>，项目共临时占地57600m</w:t>
      </w:r>
      <w:r>
        <w:rPr>
          <w:rFonts w:hint="default" w:ascii="Times New Roman" w:hAnsi="Times New Roman" w:eastAsia="宋体" w:cs="Times New Roman"/>
          <w:color w:val="auto"/>
          <w:kern w:val="0"/>
          <w:sz w:val="21"/>
          <w:szCs w:val="21"/>
          <w:vertAlign w:val="superscript"/>
          <w:lang w:val="sq-AL" w:eastAsia="zh-CN" w:bidi="ar-SA"/>
        </w:rPr>
        <w:t>2</w:t>
      </w:r>
      <w:r>
        <w:rPr>
          <w:rFonts w:hint="eastAsia" w:ascii="Times New Roman" w:hAnsi="Times New Roman" w:eastAsia="宋体" w:cs="Times New Roman"/>
          <w:color w:val="auto"/>
          <w:kern w:val="0"/>
          <w:sz w:val="21"/>
          <w:szCs w:val="21"/>
          <w:lang w:val="sq-AL"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382" w:firstLineChars="182"/>
        <w:textAlignment w:val="auto"/>
        <w:rPr>
          <w:rFonts w:hint="default" w:ascii="Times New Roman" w:hAnsi="Times New Roman" w:eastAsia="宋体" w:cs="Times New Roman"/>
          <w:color w:val="auto"/>
          <w:kern w:val="0"/>
          <w:sz w:val="21"/>
          <w:szCs w:val="21"/>
          <w:lang w:val="sq-AL" w:eastAsia="zh-CN" w:bidi="ar-SA"/>
        </w:rPr>
      </w:pPr>
      <w:r>
        <w:rPr>
          <w:rFonts w:hint="default" w:ascii="Times New Roman" w:hAnsi="Times New Roman" w:eastAsia="宋体" w:cs="Times New Roman"/>
          <w:color w:val="auto"/>
          <w:kern w:val="0"/>
          <w:sz w:val="21"/>
          <w:szCs w:val="21"/>
          <w:lang w:val="en-US" w:eastAsia="zh-CN" w:bidi="ar-SA"/>
        </w:rPr>
        <w:t>潘二矿最早于2021年3月7日开工，最晚于2022年3月1日下泵排采，施工工期为12个月；顾桥矿最早于2021年2月10日开工，最晚于2022年6月19日下泵排采，施工工期为16个月；朱集东矿最早于2021年5月8日开工，最晚于2022年6月5日下泵排采，施工工期为13个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382" w:firstLineChars="182"/>
        <w:textAlignment w:val="auto"/>
        <w:rPr>
          <w:color w:val="0000FF"/>
          <w:sz w:val="21"/>
          <w:szCs w:val="21"/>
        </w:rPr>
      </w:pPr>
      <w:r>
        <w:rPr>
          <w:rFonts w:hint="default" w:ascii="Times New Roman" w:hAnsi="Times New Roman" w:eastAsia="宋体" w:cs="Times New Roman"/>
          <w:color w:val="auto"/>
          <w:kern w:val="0"/>
          <w:sz w:val="21"/>
          <w:szCs w:val="21"/>
          <w:lang w:val="en-US" w:eastAsia="zh-CN" w:bidi="ar-SA"/>
        </w:rPr>
        <w:t>本工程建设过程已将环境保护设施纳入了设计，环境保护设施的设计基本符合环境保护设计规范的要求。落实了防治污染和生态破环的措施以及环境保护设施投资概算，本次验收期间，项目环保投资155万元，占总投资的0.577%</w:t>
      </w:r>
      <w:r>
        <w:rPr>
          <w:rFonts w:hint="default" w:ascii="Times New Roman" w:hAnsi="Times New Roman" w:eastAsia="宋体" w:cs="Times New Roman"/>
          <w:color w:val="auto"/>
          <w:kern w:val="0"/>
          <w:sz w:val="21"/>
          <w:szCs w:val="21"/>
          <w:lang w:val="en-US" w:eastAsia="zh-CN" w:bidi="ar-SA"/>
        </w:rPr>
        <w:t>。</w:t>
      </w:r>
    </w:p>
    <w:p>
      <w:pPr>
        <w:pStyle w:val="4"/>
        <w:rPr>
          <w:rFonts w:ascii="宋体" w:hAnsi="宋体"/>
          <w:b/>
          <w:bCs w:val="0"/>
          <w:color w:val="auto"/>
          <w:szCs w:val="21"/>
        </w:rPr>
      </w:pPr>
      <w:r>
        <w:rPr>
          <w:rFonts w:hint="eastAsia" w:ascii="宋体" w:hAnsi="宋体"/>
          <w:b/>
          <w:bCs w:val="0"/>
          <w:color w:val="auto"/>
          <w:szCs w:val="21"/>
        </w:rPr>
        <w:t>1.2施工简况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382" w:firstLineChars="182"/>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本项目</w:t>
      </w:r>
      <w:r>
        <w:rPr>
          <w:rFonts w:hint="default" w:ascii="Times New Roman" w:hAnsi="Times New Roman" w:eastAsia="宋体" w:cs="Times New Roman"/>
          <w:color w:val="auto"/>
          <w:kern w:val="0"/>
          <w:sz w:val="21"/>
          <w:szCs w:val="21"/>
          <w:lang w:val="en-US" w:eastAsia="zh-CN" w:bidi="ar-SA"/>
        </w:rPr>
        <w:t>潘二矿最早于2021年3月7日开工，最晚于2022年3月1日下泵排采，施工工期为12个月；顾桥矿最早于2021年2月10日开工，最晚于2022年6月19日下泵排采，施工工期为16个月；朱集东矿最早于2021年5月8日开工，最晚于2022年6月5日下泵排采，施工工期为13个月，已将环境保护设施建设纳入施工合同，随主体工程同时设计、同时施工、同时投产，并确保了环境保护设施的建设进度和资金。投入营运后，</w:t>
      </w:r>
      <w:r>
        <w:rPr>
          <w:rFonts w:hint="eastAsia" w:ascii="Times New Roman" w:hAnsi="Times New Roman" w:eastAsia="宋体" w:cs="Times New Roman"/>
          <w:color w:val="auto"/>
          <w:kern w:val="0"/>
          <w:sz w:val="21"/>
          <w:szCs w:val="21"/>
          <w:lang w:val="en-US" w:eastAsia="zh-CN" w:bidi="ar-SA"/>
        </w:rPr>
        <w:t>2020年度地面瓦斯区域治理工程</w:t>
      </w:r>
      <w:r>
        <w:rPr>
          <w:rFonts w:hint="default" w:ascii="Times New Roman" w:hAnsi="Times New Roman" w:eastAsia="宋体" w:cs="Times New Roman"/>
          <w:color w:val="auto"/>
          <w:kern w:val="0"/>
          <w:sz w:val="21"/>
          <w:szCs w:val="21"/>
          <w:lang w:val="en-US" w:eastAsia="zh-CN" w:bidi="ar-SA"/>
        </w:rPr>
        <w:t>严格按照环评文件及其批复执行环境保护措施，投入了一定的人力、物力，加强管理和养护。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382" w:firstLineChars="182"/>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本工程在施工和生产期间基本按照环评文件及其批复的要求落实了各项环境保护措施，落实情况总体较好。</w:t>
      </w:r>
    </w:p>
    <w:p>
      <w:pPr>
        <w:pStyle w:val="4"/>
        <w:rPr>
          <w:rFonts w:ascii="宋体" w:hAnsi="宋体"/>
          <w:b/>
          <w:bCs w:val="0"/>
          <w:color w:val="auto"/>
          <w:szCs w:val="21"/>
        </w:rPr>
      </w:pPr>
      <w:r>
        <w:rPr>
          <w:rFonts w:hint="eastAsia" w:ascii="宋体" w:hAnsi="宋体"/>
          <w:b/>
          <w:bCs w:val="0"/>
          <w:color w:val="auto"/>
          <w:szCs w:val="21"/>
        </w:rPr>
        <w:t>1.3验收过程简况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382" w:firstLineChars="182"/>
        <w:textAlignment w:val="auto"/>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2023年9月24日，淮南矿业集团煤层气开发利用有限责任公司组织召开了2020年度地面瓦斯区域治理工程项目竣工环境保护验收会，</w:t>
      </w:r>
      <w:r>
        <w:rPr>
          <w:rFonts w:hint="default" w:ascii="Times New Roman" w:hAnsi="Times New Roman" w:eastAsia="宋体" w:cs="Times New Roman"/>
          <w:color w:val="auto"/>
          <w:kern w:val="0"/>
          <w:sz w:val="21"/>
          <w:szCs w:val="21"/>
          <w:lang w:val="en-US" w:eastAsia="zh-CN" w:bidi="ar-SA"/>
        </w:rPr>
        <w:t>验收组由建设单位、验收调查报告编制机构、验收检测单位和技术评审专家等组成并召开现场验收评审会得出验收结论。</w:t>
      </w:r>
    </w:p>
    <w:p>
      <w:pPr>
        <w:pStyle w:val="4"/>
        <w:rPr>
          <w:rFonts w:hint="eastAsia" w:ascii="宋体" w:hAnsi="宋体"/>
          <w:b/>
          <w:bCs w:val="0"/>
          <w:color w:val="auto"/>
          <w:szCs w:val="21"/>
        </w:rPr>
      </w:pPr>
      <w:r>
        <w:rPr>
          <w:rFonts w:hint="eastAsia" w:ascii="宋体" w:hAnsi="宋体"/>
          <w:b/>
          <w:bCs w:val="0"/>
          <w:color w:val="auto"/>
          <w:szCs w:val="21"/>
        </w:rPr>
        <w:t>1.4公众反馈意见及处理情况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382" w:firstLineChars="182"/>
        <w:textAlignment w:val="auto"/>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本项目在设计、施工和验收期间未收到过公众反馈意见或投诉，验收过程中无公众反馈意见或投诉。</w:t>
      </w:r>
    </w:p>
    <w:p>
      <w:pPr>
        <w:pStyle w:val="4"/>
        <w:rPr>
          <w:rFonts w:ascii="宋体" w:hAnsi="宋体"/>
          <w:b/>
          <w:bCs w:val="0"/>
          <w:color w:val="auto"/>
          <w:szCs w:val="21"/>
        </w:rPr>
      </w:pPr>
      <w:r>
        <w:rPr>
          <w:rFonts w:hint="eastAsia" w:ascii="宋体" w:hAnsi="宋体"/>
          <w:b/>
          <w:bCs w:val="0"/>
          <w:color w:val="auto"/>
          <w:szCs w:val="21"/>
        </w:rPr>
        <w:t>2其他环境保护措施的落实情况</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outlineLvl w:val="0"/>
        <w:rPr>
          <w:color w:val="auto"/>
          <w:sz w:val="21"/>
          <w:szCs w:val="21"/>
        </w:rPr>
      </w:pPr>
      <w:r>
        <w:rPr>
          <w:rFonts w:hint="eastAsia"/>
          <w:color w:val="auto"/>
          <w:sz w:val="21"/>
          <w:szCs w:val="21"/>
        </w:rPr>
        <w:t>环境影响报告书（表）及其审批部门审批决定中提出的，除环境保护设施外的其他环境保护措施，主要包括制度措施和配套措施等，现将需要说明的措施内容和要求梳理如下：</w:t>
      </w:r>
    </w:p>
    <w:p>
      <w:pPr>
        <w:pStyle w:val="4"/>
        <w:rPr>
          <w:rFonts w:ascii="宋体" w:hAnsi="宋体"/>
          <w:b/>
          <w:bCs w:val="0"/>
          <w:color w:val="auto"/>
          <w:szCs w:val="21"/>
        </w:rPr>
      </w:pPr>
      <w:r>
        <w:rPr>
          <w:rFonts w:hint="eastAsia" w:ascii="宋体" w:hAnsi="宋体"/>
          <w:b/>
          <w:bCs w:val="0"/>
          <w:color w:val="auto"/>
          <w:szCs w:val="21"/>
        </w:rPr>
        <w:t>2.1制度措施落实情况</w:t>
      </w:r>
    </w:p>
    <w:p>
      <w:pPr>
        <w:pStyle w:val="4"/>
        <w:pageBreakBefore w:val="0"/>
        <w:kinsoku/>
        <w:wordWrap/>
        <w:overflowPunct/>
        <w:topLinePunct w:val="0"/>
        <w:autoSpaceDE/>
        <w:autoSpaceDN/>
        <w:bidi w:val="0"/>
        <w:spacing w:line="360" w:lineRule="auto"/>
        <w:textAlignment w:val="auto"/>
        <w:rPr>
          <w:rFonts w:ascii="宋体" w:hAnsi="宋体"/>
          <w:color w:val="auto"/>
          <w:szCs w:val="21"/>
        </w:rPr>
      </w:pPr>
      <w:r>
        <w:rPr>
          <w:rFonts w:hint="eastAsia" w:ascii="宋体" w:hAnsi="宋体"/>
          <w:color w:val="auto"/>
          <w:szCs w:val="21"/>
        </w:rPr>
        <w:t xml:space="preserve">  （1）环保组织机构及规章制度</w:t>
      </w:r>
    </w:p>
    <w:p>
      <w:pPr>
        <w:pageBreakBefore w:val="0"/>
        <w:kinsoku/>
        <w:wordWrap/>
        <w:overflowPunct/>
        <w:topLinePunct w:val="0"/>
        <w:autoSpaceDE/>
        <w:autoSpaceDN/>
        <w:bidi w:val="0"/>
        <w:spacing w:after="0" w:line="360" w:lineRule="auto"/>
        <w:ind w:firstLine="420" w:firstLineChars="200"/>
        <w:jc w:val="both"/>
        <w:textAlignment w:val="auto"/>
        <w:rPr>
          <w:color w:val="0000FF"/>
          <w:sz w:val="21"/>
          <w:szCs w:val="21"/>
        </w:rPr>
      </w:pPr>
      <w:r>
        <w:rPr>
          <w:rFonts w:hint="eastAsia" w:ascii="宋体" w:hAnsi="宋体" w:eastAsia="宋体" w:cs="宋体"/>
          <w:color w:val="auto"/>
          <w:kern w:val="0"/>
          <w:sz w:val="21"/>
          <w:szCs w:val="21"/>
          <w:lang w:val="en-US" w:eastAsia="zh-CN" w:bidi="ar-SA"/>
        </w:rPr>
        <w:t>2020年度地面瓦斯区域治理工程的</w:t>
      </w:r>
      <w:r>
        <w:rPr>
          <w:rFonts w:hint="default" w:ascii="宋体" w:hAnsi="宋体" w:eastAsia="宋体" w:cs="宋体"/>
          <w:color w:val="auto"/>
          <w:kern w:val="0"/>
          <w:sz w:val="21"/>
          <w:szCs w:val="21"/>
          <w:lang w:val="en-US" w:eastAsia="zh-CN" w:bidi="ar-SA"/>
        </w:rPr>
        <w:t>环境管理工作主要接受</w:t>
      </w:r>
      <w:r>
        <w:rPr>
          <w:rFonts w:hint="eastAsia" w:ascii="宋体" w:hAnsi="宋体" w:eastAsia="宋体" w:cs="宋体"/>
          <w:color w:val="auto"/>
          <w:kern w:val="0"/>
          <w:sz w:val="21"/>
          <w:szCs w:val="21"/>
          <w:lang w:val="en-US" w:eastAsia="zh-CN" w:bidi="ar-SA"/>
        </w:rPr>
        <w:t>潘集区和凤台县</w:t>
      </w:r>
      <w:r>
        <w:rPr>
          <w:rFonts w:hint="default" w:ascii="宋体" w:hAnsi="宋体" w:eastAsia="宋体" w:cs="宋体"/>
          <w:color w:val="auto"/>
          <w:kern w:val="0"/>
          <w:sz w:val="21"/>
          <w:szCs w:val="21"/>
          <w:lang w:val="en-US" w:eastAsia="zh-CN" w:bidi="ar-SA"/>
        </w:rPr>
        <w:t>生态环境</w:t>
      </w:r>
      <w:r>
        <w:rPr>
          <w:rFonts w:hint="eastAsia" w:ascii="宋体" w:hAnsi="宋体" w:eastAsia="宋体" w:cs="宋体"/>
          <w:color w:val="auto"/>
          <w:kern w:val="0"/>
          <w:sz w:val="21"/>
          <w:szCs w:val="21"/>
          <w:lang w:val="en-US" w:eastAsia="zh-CN" w:bidi="ar-SA"/>
        </w:rPr>
        <w:t>分</w:t>
      </w:r>
      <w:r>
        <w:rPr>
          <w:rFonts w:hint="default" w:ascii="宋体" w:hAnsi="宋体" w:eastAsia="宋体" w:cs="宋体"/>
          <w:color w:val="auto"/>
          <w:kern w:val="0"/>
          <w:sz w:val="21"/>
          <w:szCs w:val="21"/>
          <w:lang w:val="en-US" w:eastAsia="zh-CN" w:bidi="ar-SA"/>
        </w:rPr>
        <w:t>局开展的环境保护工作日常监督</w:t>
      </w:r>
      <w:r>
        <w:rPr>
          <w:rFonts w:hint="eastAsia" w:ascii="宋体" w:hAnsi="宋体" w:eastAsia="宋体" w:cs="宋体"/>
          <w:color w:val="auto"/>
          <w:kern w:val="0"/>
          <w:sz w:val="21"/>
          <w:szCs w:val="21"/>
          <w:lang w:val="en-US" w:eastAsia="zh-CN" w:bidi="ar-SA"/>
        </w:rPr>
        <w:t>，并设立环境保护工作小组，配备环境管理人员并开展环保工作。</w:t>
      </w:r>
    </w:p>
    <w:p>
      <w:pPr>
        <w:pStyle w:val="4"/>
        <w:pageBreakBefore w:val="0"/>
        <w:kinsoku/>
        <w:wordWrap/>
        <w:overflowPunct/>
        <w:topLinePunct w:val="0"/>
        <w:autoSpaceDE/>
        <w:autoSpaceDN/>
        <w:bidi w:val="0"/>
        <w:spacing w:line="360" w:lineRule="auto"/>
        <w:textAlignment w:val="auto"/>
        <w:rPr>
          <w:rFonts w:ascii="宋体" w:hAnsi="宋体"/>
          <w:color w:val="auto"/>
          <w:szCs w:val="21"/>
        </w:rPr>
      </w:pPr>
      <w:r>
        <w:rPr>
          <w:rFonts w:hint="eastAsia" w:ascii="宋体" w:hAnsi="宋体"/>
          <w:color w:val="0000FF"/>
          <w:szCs w:val="21"/>
        </w:rPr>
        <w:t xml:space="preserve">  </w:t>
      </w:r>
      <w:r>
        <w:rPr>
          <w:rFonts w:hint="eastAsia" w:ascii="宋体" w:hAnsi="宋体"/>
          <w:color w:val="auto"/>
          <w:szCs w:val="21"/>
        </w:rPr>
        <w:t>（</w:t>
      </w:r>
      <w:r>
        <w:rPr>
          <w:rFonts w:hint="eastAsia" w:ascii="宋体" w:hAnsi="宋体"/>
          <w:color w:val="auto"/>
          <w:szCs w:val="21"/>
          <w:lang w:val="en-US" w:eastAsia="zh-CN"/>
        </w:rPr>
        <w:t>2</w:t>
      </w:r>
      <w:r>
        <w:rPr>
          <w:rFonts w:hint="eastAsia" w:ascii="宋体" w:hAnsi="宋体"/>
          <w:color w:val="auto"/>
          <w:szCs w:val="21"/>
        </w:rPr>
        <w:t>）环境监测计划</w:t>
      </w:r>
    </w:p>
    <w:p>
      <w:pPr>
        <w:pStyle w:val="9"/>
        <w:pageBreakBefore w:val="0"/>
        <w:kinsoku/>
        <w:wordWrap/>
        <w:overflowPunct/>
        <w:topLinePunct w:val="0"/>
        <w:autoSpaceDE/>
        <w:autoSpaceDN/>
        <w:bidi w:val="0"/>
        <w:spacing w:before="0" w:beforeAutospacing="0" w:after="0" w:afterAutospacing="0" w:line="360" w:lineRule="auto"/>
        <w:ind w:firstLine="420" w:firstLineChars="200"/>
        <w:jc w:val="both"/>
        <w:textAlignment w:val="auto"/>
        <w:outlineLvl w:val="0"/>
        <w:rPr>
          <w:color w:val="auto"/>
          <w:sz w:val="21"/>
          <w:szCs w:val="21"/>
        </w:rPr>
      </w:pPr>
      <w:r>
        <w:rPr>
          <w:rFonts w:hint="eastAsia" w:ascii="Times New Roman" w:hAnsi="Times New Roman" w:eastAsia="宋体" w:cs="Times New Roman"/>
          <w:color w:val="auto"/>
          <w:kern w:val="0"/>
          <w:sz w:val="21"/>
          <w:szCs w:val="21"/>
          <w:lang w:val="en-US" w:eastAsia="zh-CN" w:bidi="ar-SA"/>
        </w:rPr>
        <w:t>淮南矿业集团煤层气开发利用有限责任公司</w:t>
      </w:r>
      <w:r>
        <w:rPr>
          <w:rFonts w:hint="eastAsia"/>
          <w:color w:val="auto"/>
          <w:sz w:val="21"/>
          <w:szCs w:val="21"/>
        </w:rPr>
        <w:t>按照环境影响报告书（表）及其审批部门审批决定要求制定了环境监测计划，</w:t>
      </w:r>
      <w:r>
        <w:rPr>
          <w:rFonts w:hint="eastAsia"/>
          <w:color w:val="auto"/>
          <w:sz w:val="21"/>
          <w:szCs w:val="21"/>
          <w:lang w:val="en-US" w:eastAsia="zh-CN"/>
        </w:rPr>
        <w:t>环境</w:t>
      </w:r>
      <w:r>
        <w:rPr>
          <w:rFonts w:hint="eastAsia"/>
          <w:color w:val="auto"/>
          <w:sz w:val="21"/>
          <w:szCs w:val="21"/>
        </w:rPr>
        <w:t>监测结果</w:t>
      </w:r>
      <w:r>
        <w:rPr>
          <w:rFonts w:hint="eastAsia"/>
          <w:color w:val="auto"/>
          <w:sz w:val="21"/>
          <w:szCs w:val="21"/>
          <w:lang w:val="en-US" w:eastAsia="zh-CN"/>
        </w:rPr>
        <w:t>均满足相应环境标准</w:t>
      </w:r>
      <w:r>
        <w:rPr>
          <w:rFonts w:hint="eastAsia"/>
          <w:color w:val="auto"/>
          <w:sz w:val="21"/>
          <w:szCs w:val="21"/>
        </w:rPr>
        <w:t>。</w:t>
      </w:r>
    </w:p>
    <w:p>
      <w:pPr>
        <w:pStyle w:val="4"/>
        <w:rPr>
          <w:rFonts w:ascii="宋体" w:hAnsi="宋体"/>
          <w:b/>
          <w:bCs w:val="0"/>
          <w:color w:val="auto"/>
          <w:szCs w:val="21"/>
        </w:rPr>
      </w:pPr>
      <w:r>
        <w:rPr>
          <w:rFonts w:hint="eastAsia" w:ascii="宋体" w:hAnsi="宋体"/>
          <w:b/>
          <w:bCs w:val="0"/>
          <w:color w:val="auto"/>
          <w:szCs w:val="21"/>
        </w:rPr>
        <w:t>2.2配套措施落实情况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Times New Roman"/>
          <w:color w:val="FF0000"/>
          <w:szCs w:val="21"/>
        </w:rPr>
      </w:pPr>
      <w:r>
        <w:rPr>
          <w:rFonts w:hint="eastAsia" w:ascii="宋体" w:hAnsi="宋体"/>
          <w:color w:val="0000FF"/>
          <w:szCs w:val="21"/>
        </w:rPr>
        <w:t xml:space="preserve">  </w:t>
      </w:r>
      <w:r>
        <w:rPr>
          <w:rFonts w:hint="eastAsia" w:ascii="宋体" w:hAnsi="宋体"/>
          <w:color w:val="0000FF"/>
          <w:szCs w:val="21"/>
          <w:lang w:val="en-US" w:eastAsia="zh-CN"/>
        </w:rPr>
        <w:t xml:space="preserve"> </w:t>
      </w:r>
      <w:r>
        <w:rPr>
          <w:rFonts w:hint="eastAsia" w:ascii="Times New Roman" w:hAnsi="Times New Roman" w:eastAsia="宋体" w:cs="Times New Roman"/>
          <w:color w:val="auto"/>
          <w:kern w:val="0"/>
          <w:sz w:val="21"/>
          <w:szCs w:val="21"/>
          <w:lang w:val="en-US" w:eastAsia="zh-CN" w:bidi="ar-SA"/>
        </w:rPr>
        <w:t>淮南矿业集团煤层气开发利用有限责任公司基本按照环境影响报告表和环保主管部门的要求完成了各项环保措施，项目生活污水将依托一体化化粪池集中收集后送至各矿工业场地生活污水处理站进行处理，采气排水经泥浆罐沉淀后上清液回用于抑尘及绿化等，多余部分将运至各矿工业场地矿井水处理站处理；采用低噪声设备，室内基础减振，合理布置厂内各功能区位置；生活垃圾集中收集后由潘二矿、朱集东矿、顾桥矿工业场地统一处置；</w:t>
      </w:r>
      <w:r>
        <w:rPr>
          <w:rFonts w:hint="eastAsia" w:ascii="宋体" w:hAnsi="宋体" w:eastAsia="宋体" w:cs="宋体"/>
          <w:sz w:val="21"/>
          <w:szCs w:val="21"/>
          <w:highlight w:val="none"/>
        </w:rPr>
        <w:t>在本工程各井场服务期满后应按照淮南市自然资源和规划局批复的土地复垦方案进行复垦，复垦为耕地并保证生产能力不变。</w:t>
      </w:r>
      <w:bookmarkStart w:id="0" w:name="_GoBack"/>
      <w:bookmarkEnd w:id="0"/>
    </w:p>
    <w:p>
      <w:pPr>
        <w:pStyle w:val="4"/>
        <w:rPr>
          <w:rFonts w:ascii="宋体" w:hAnsi="宋体"/>
          <w:b/>
          <w:bCs w:val="0"/>
          <w:color w:val="auto"/>
          <w:szCs w:val="21"/>
        </w:rPr>
      </w:pPr>
      <w:r>
        <w:rPr>
          <w:rFonts w:hint="eastAsia" w:ascii="宋体" w:hAnsi="宋体"/>
          <w:b/>
          <w:bCs w:val="0"/>
          <w:color w:val="auto"/>
          <w:szCs w:val="21"/>
        </w:rPr>
        <w:t>2.3其他措施落实情况</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本项目不涉及占用珍惜动植物保护、区域环境整治、相关外围工程建设情况等。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3DB"/>
    <w:rsid w:val="004733DB"/>
    <w:rsid w:val="006123D9"/>
    <w:rsid w:val="008709E4"/>
    <w:rsid w:val="008A3F58"/>
    <w:rsid w:val="0EBE5A08"/>
    <w:rsid w:val="3A1F04CF"/>
    <w:rsid w:val="4E7547A4"/>
    <w:rsid w:val="6F0F2AA3"/>
    <w:rsid w:val="75B378A6"/>
    <w:rsid w:val="76890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4">
    <w:name w:val="heading 2"/>
    <w:basedOn w:val="1"/>
    <w:next w:val="1"/>
    <w:link w:val="8"/>
    <w:qFormat/>
    <w:uiPriority w:val="0"/>
    <w:pPr>
      <w:keepNext/>
      <w:keepLines/>
      <w:widowControl w:val="0"/>
      <w:adjustRightInd/>
      <w:snapToGrid/>
      <w:spacing w:after="0" w:line="360" w:lineRule="exact"/>
      <w:jc w:val="both"/>
      <w:outlineLvl w:val="1"/>
    </w:pPr>
    <w:rPr>
      <w:rFonts w:ascii="Times New Roman" w:hAnsi="Times New Roman" w:eastAsia="宋体"/>
      <w:bCs/>
      <w:kern w:val="2"/>
      <w:sz w:val="21"/>
      <w:szCs w:val="32"/>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rPr>
  </w:style>
  <w:style w:type="paragraph" w:styleId="3">
    <w:name w:val="Salutation"/>
    <w:basedOn w:val="1"/>
    <w:next w:val="1"/>
    <w:qFormat/>
    <w:uiPriority w:val="0"/>
    <w:rPr>
      <w:rFonts w:ascii="Times New Roman" w:hAnsi="Times New Roman"/>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8">
    <w:name w:val="标题 2 Char"/>
    <w:basedOn w:val="7"/>
    <w:link w:val="4"/>
    <w:uiPriority w:val="0"/>
    <w:rPr>
      <w:rFonts w:ascii="Times New Roman" w:hAnsi="Times New Roman" w:eastAsia="宋体" w:cs="Times New Roman"/>
      <w:bCs/>
      <w:szCs w:val="32"/>
    </w:rPr>
  </w:style>
  <w:style w:type="paragraph" w:customStyle="1" w:styleId="9">
    <w:name w:val="Normal (Web)"/>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10">
    <w:name w:val="xl27"/>
    <w:basedOn w:val="1"/>
    <w:next w:val="1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16"/>
      <w:szCs w:val="16"/>
    </w:rPr>
  </w:style>
  <w:style w:type="paragraph" w:customStyle="1" w:styleId="11">
    <w:name w:val="A正文"/>
    <w:qFormat/>
    <w:uiPriority w:val="0"/>
    <w:pPr>
      <w:spacing w:line="360" w:lineRule="auto"/>
      <w:ind w:firstLine="200" w:firstLineChars="200"/>
      <w:contextualSpacing/>
    </w:pPr>
    <w:rPr>
      <w:rFonts w:ascii="Times New Roman" w:hAnsi="Times New Roman" w:eastAsia="宋体" w:cs="Times New Roman"/>
      <w:sz w:val="24"/>
      <w:szCs w:val="22"/>
      <w:lang w:val="en-US" w:eastAsia="en-US" w:bidi="en-US"/>
    </w:rPr>
  </w:style>
  <w:style w:type="paragraph" w:customStyle="1" w:styleId="12">
    <w:name w:val="eia正文"/>
    <w:basedOn w:val="1"/>
    <w:next w:val="1"/>
    <w:qFormat/>
    <w:uiPriority w:val="0"/>
    <w:pPr>
      <w:spacing w:after="0" w:line="360" w:lineRule="auto"/>
      <w:ind w:firstLine="480" w:firstLineChars="200"/>
      <w:jc w:val="both"/>
    </w:pPr>
    <w:rPr>
      <w:rFonts w:ascii="Arial" w:hAnsi="Arial"/>
      <w:sz w:val="24"/>
      <w:szCs w:val="24"/>
      <w:lang w:val="sq-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159</Words>
  <Characters>909</Characters>
  <Lines>7</Lines>
  <Paragraphs>2</Paragraphs>
  <TotalTime>0</TotalTime>
  <ScaleCrop>false</ScaleCrop>
  <LinksUpToDate>false</LinksUpToDate>
  <CharactersWithSpaces>1066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2023-10-19T02:20:00Z</dcterms:created>
  <dc:creator>admin</dc:creator>
  <cp:lastModifiedBy>admin</cp:lastModifiedBy>
  <dcterms:modified xsi:type="dcterms:W3CDTF">2023-10-23T08:11:04Z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